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65" w:rsidRPr="00D91065" w:rsidRDefault="00D91065" w:rsidP="00D91065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D91065">
        <w:rPr>
          <w:b/>
          <w:sz w:val="26"/>
          <w:szCs w:val="26"/>
        </w:rPr>
        <w:t>ĐÁP ÁN ĐỊA 11 TỰ NHIỆN</w:t>
      </w:r>
    </w:p>
    <w:p w:rsidR="00AA3636" w:rsidRPr="005D5B81" w:rsidRDefault="00AA3636" w:rsidP="00D91065">
      <w:pPr>
        <w:spacing w:after="0" w:line="240" w:lineRule="auto"/>
        <w:jc w:val="center"/>
        <w:rPr>
          <w:b/>
          <w:sz w:val="6"/>
          <w:szCs w:val="6"/>
          <w:u w:val="single"/>
        </w:rPr>
      </w:pPr>
    </w:p>
    <w:p w:rsidR="00AA3636" w:rsidRPr="005D5B81" w:rsidRDefault="00AA3636" w:rsidP="005D5B81">
      <w:pPr>
        <w:spacing w:after="0" w:line="288" w:lineRule="auto"/>
        <w:ind w:firstLine="426"/>
        <w:jc w:val="both"/>
        <w:rPr>
          <w:b/>
          <w:sz w:val="26"/>
          <w:szCs w:val="26"/>
          <w:u w:val="single"/>
          <w:lang w:val="vi-VN"/>
        </w:rPr>
      </w:pPr>
      <w:r w:rsidRPr="005D5B81">
        <w:rPr>
          <w:b/>
          <w:sz w:val="26"/>
          <w:szCs w:val="26"/>
          <w:u w:val="single"/>
          <w:lang w:val="vi-VN"/>
        </w:rPr>
        <w:t xml:space="preserve">Câu 1: Nêu </w:t>
      </w:r>
      <w:r w:rsidRPr="005D5B81">
        <w:rPr>
          <w:b/>
          <w:sz w:val="26"/>
          <w:szCs w:val="26"/>
          <w:u w:val="single"/>
        </w:rPr>
        <w:t xml:space="preserve">Vị trí địa lí và </w:t>
      </w:r>
      <w:r w:rsidRPr="005D5B81">
        <w:rPr>
          <w:b/>
          <w:sz w:val="26"/>
          <w:szCs w:val="26"/>
          <w:u w:val="single"/>
          <w:lang w:val="vi-VN"/>
        </w:rPr>
        <w:t>lãnh thỗ Trung Quốc? (2đ)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t>- Đất nước có diện tích rộng lớn (thứ 4 thế giới), nằm trong khu vực Trung – Đông Á.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t xml:space="preserve">- Giới hạn lãnh thổ: 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t>+ Kéo dài từ 20</w:t>
      </w:r>
      <w:r w:rsidRPr="005D5B81">
        <w:rPr>
          <w:sz w:val="26"/>
          <w:szCs w:val="26"/>
          <w:vertAlign w:val="superscript"/>
        </w:rPr>
        <w:t>0</w:t>
      </w:r>
      <w:r w:rsidRPr="005D5B81">
        <w:rPr>
          <w:sz w:val="26"/>
          <w:szCs w:val="26"/>
        </w:rPr>
        <w:t xml:space="preserve"> B đến 53</w:t>
      </w:r>
      <w:r w:rsidRPr="005D5B81">
        <w:rPr>
          <w:sz w:val="26"/>
          <w:szCs w:val="26"/>
          <w:vertAlign w:val="superscript"/>
        </w:rPr>
        <w:t>0</w:t>
      </w:r>
      <w:r w:rsidRPr="005D5B81">
        <w:rPr>
          <w:sz w:val="26"/>
          <w:szCs w:val="26"/>
        </w:rPr>
        <w:t xml:space="preserve"> B, 73</w:t>
      </w:r>
      <w:r w:rsidRPr="005D5B81">
        <w:rPr>
          <w:sz w:val="26"/>
          <w:szCs w:val="26"/>
          <w:vertAlign w:val="superscript"/>
        </w:rPr>
        <w:t>0</w:t>
      </w:r>
      <w:r w:rsidRPr="005D5B81">
        <w:rPr>
          <w:sz w:val="26"/>
          <w:szCs w:val="26"/>
        </w:rPr>
        <w:t xml:space="preserve"> Đ đến 135</w:t>
      </w:r>
      <w:r w:rsidRPr="005D5B81">
        <w:rPr>
          <w:sz w:val="26"/>
          <w:szCs w:val="26"/>
          <w:vertAlign w:val="superscript"/>
        </w:rPr>
        <w:t>0</w:t>
      </w:r>
      <w:r w:rsidRPr="005D5B81">
        <w:rPr>
          <w:sz w:val="26"/>
          <w:szCs w:val="26"/>
        </w:rPr>
        <w:t xml:space="preserve"> Đ.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t>+ Tiếp giáp 14 quốc gia. Diện tích:  9572,8 triệu km</w:t>
      </w:r>
      <w:r w:rsidRPr="005D5B81">
        <w:rPr>
          <w:sz w:val="26"/>
          <w:szCs w:val="26"/>
          <w:bdr w:val="none" w:sz="0" w:space="0" w:color="auto" w:frame="1"/>
          <w:vertAlign w:val="superscript"/>
        </w:rPr>
        <w:t>2</w:t>
      </w:r>
      <w:r w:rsidRPr="005D5B81">
        <w:rPr>
          <w:sz w:val="26"/>
          <w:szCs w:val="26"/>
        </w:rPr>
        <w:t>.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t>+ Biên giới là núi cao và hoang mạc ở phía tây, nam và bắc.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  <w:lang w:val="vi-VN"/>
        </w:rPr>
        <w:t xml:space="preserve">+ </w:t>
      </w:r>
      <w:r w:rsidRPr="005D5B81">
        <w:rPr>
          <w:sz w:val="26"/>
          <w:szCs w:val="26"/>
        </w:rPr>
        <w:t xml:space="preserve"> Phía Đông giáp biển, gần với Nhật Bản, Hàn Quốc, Đông Nam Á (trong đó có Việt Nam).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  <w:lang w:val="vi-VN"/>
        </w:rPr>
        <w:t>+</w:t>
      </w:r>
      <w:r w:rsidRPr="005D5B81">
        <w:rPr>
          <w:sz w:val="26"/>
          <w:szCs w:val="26"/>
        </w:rPr>
        <w:t xml:space="preserve"> Cả nước có 22 tỉnh, 5 khu tự trị và 4 thành phố trực thuộc trung ương. Ven biển có hai đặc khu hành chính là Hồng </w:t>
      </w:r>
      <w:r w:rsidRPr="005D5B81">
        <w:rPr>
          <w:sz w:val="26"/>
          <w:szCs w:val="26"/>
          <w:lang w:val="vi-VN"/>
        </w:rPr>
        <w:t>K</w:t>
      </w:r>
      <w:r w:rsidRPr="005D5B81">
        <w:rPr>
          <w:sz w:val="26"/>
          <w:szCs w:val="26"/>
        </w:rPr>
        <w:t>ông và Ma Cao. Đảo Đài Loan là một bộ phận lãnh thổ của Trung Quốc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sym w:font="Symbol" w:char="F0DE"/>
      </w:r>
      <w:r w:rsidRPr="005D5B81">
        <w:rPr>
          <w:sz w:val="26"/>
          <w:szCs w:val="26"/>
        </w:rPr>
        <w:t xml:space="preserve"> Thiên nhiên đa dạng, dễ mở rộng quan hệ với các nước trong khu vực và thế giới.</w:t>
      </w:r>
    </w:p>
    <w:p w:rsidR="00D91065" w:rsidRPr="005D5B81" w:rsidRDefault="00D91065" w:rsidP="005D5B81">
      <w:pPr>
        <w:spacing w:after="0" w:line="288" w:lineRule="auto"/>
        <w:ind w:firstLine="426"/>
        <w:jc w:val="both"/>
        <w:rPr>
          <w:b/>
          <w:sz w:val="26"/>
          <w:szCs w:val="26"/>
          <w:u w:val="single"/>
          <w:lang w:val="vi-VN"/>
        </w:rPr>
      </w:pPr>
      <w:r w:rsidRPr="005D5B81">
        <w:rPr>
          <w:b/>
          <w:sz w:val="26"/>
          <w:szCs w:val="26"/>
          <w:u w:val="single"/>
          <w:lang w:val="vi-VN"/>
        </w:rPr>
        <w:t>Câu 2: so sánh đ</w:t>
      </w:r>
      <w:r w:rsidRPr="005D5B81">
        <w:rPr>
          <w:b/>
          <w:sz w:val="26"/>
          <w:szCs w:val="26"/>
          <w:u w:val="single"/>
        </w:rPr>
        <w:t>iều kiện tự nhiên</w:t>
      </w:r>
      <w:r w:rsidRPr="005D5B81">
        <w:rPr>
          <w:b/>
          <w:sz w:val="26"/>
          <w:szCs w:val="26"/>
          <w:u w:val="single"/>
          <w:lang w:val="vi-VN"/>
        </w:rPr>
        <w:t xml:space="preserve"> của 2 miền tự nhiên của Trung Quốc ?(2đ)</w:t>
      </w:r>
    </w:p>
    <w:p w:rsidR="00D91065" w:rsidRPr="005D5B81" w:rsidRDefault="00D91065" w:rsidP="005D5B81">
      <w:pPr>
        <w:spacing w:after="0" w:line="288" w:lineRule="auto"/>
        <w:ind w:firstLine="426"/>
        <w:jc w:val="both"/>
        <w:rPr>
          <w:sz w:val="26"/>
          <w:szCs w:val="26"/>
          <w:lang w:val="vi-VN"/>
        </w:rPr>
      </w:pPr>
      <w:r w:rsidRPr="005D5B81">
        <w:rPr>
          <w:sz w:val="26"/>
          <w:szCs w:val="26"/>
        </w:rPr>
        <w:t xml:space="preserve"> Tự nhiên đa dạng có sự phân hoá giữa Đông Tây của lãnh thổ.</w:t>
      </w:r>
    </w:p>
    <w:tbl>
      <w:tblPr>
        <w:tblStyle w:val="TableGrid3"/>
        <w:tblpPr w:leftFromText="180" w:rightFromText="180" w:vertAnchor="text" w:horzAnchor="margin" w:tblpY="112"/>
        <w:tblW w:w="0" w:type="auto"/>
        <w:tblLook w:val="01E0" w:firstRow="1" w:lastRow="1" w:firstColumn="1" w:lastColumn="1" w:noHBand="0" w:noVBand="0"/>
      </w:tblPr>
      <w:tblGrid>
        <w:gridCol w:w="1951"/>
        <w:gridCol w:w="4253"/>
        <w:gridCol w:w="4110"/>
      </w:tblGrid>
      <w:tr w:rsidR="00D91065" w:rsidRPr="005D5B81" w:rsidTr="005D5B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65" w:rsidRPr="005D5B81" w:rsidRDefault="00D91065" w:rsidP="005D5B81">
            <w:pPr>
              <w:spacing w:line="288" w:lineRule="auto"/>
              <w:jc w:val="center"/>
              <w:rPr>
                <w:b/>
                <w:i/>
                <w:sz w:val="26"/>
                <w:szCs w:val="26"/>
              </w:rPr>
            </w:pPr>
            <w:r w:rsidRPr="005D5B81">
              <w:rPr>
                <w:b/>
                <w:i/>
                <w:sz w:val="26"/>
                <w:szCs w:val="26"/>
              </w:rPr>
              <w:t>Yếu tố tự nhiên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65" w:rsidRPr="005D5B81" w:rsidRDefault="00D91065" w:rsidP="005D5B81">
            <w:pPr>
              <w:spacing w:line="288" w:lineRule="auto"/>
              <w:jc w:val="center"/>
              <w:rPr>
                <w:b/>
                <w:i/>
                <w:sz w:val="26"/>
                <w:szCs w:val="26"/>
              </w:rPr>
            </w:pPr>
            <w:r w:rsidRPr="005D5B81">
              <w:rPr>
                <w:b/>
                <w:i/>
                <w:sz w:val="26"/>
                <w:szCs w:val="26"/>
              </w:rPr>
              <w:t>Miền Đông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5" w:rsidRPr="005D5B81" w:rsidRDefault="00D91065" w:rsidP="005D5B81">
            <w:pPr>
              <w:spacing w:line="288" w:lineRule="auto"/>
              <w:jc w:val="center"/>
              <w:rPr>
                <w:b/>
                <w:i/>
                <w:sz w:val="26"/>
                <w:szCs w:val="26"/>
              </w:rPr>
            </w:pPr>
            <w:r w:rsidRPr="005D5B81">
              <w:rPr>
                <w:b/>
                <w:i/>
                <w:sz w:val="26"/>
                <w:szCs w:val="26"/>
              </w:rPr>
              <w:t>Miền Tây</w:t>
            </w:r>
          </w:p>
        </w:tc>
      </w:tr>
      <w:tr w:rsidR="00D91065" w:rsidRPr="005D5B81" w:rsidTr="005D5B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65" w:rsidRPr="005D5B81" w:rsidRDefault="00D91065" w:rsidP="005D5B81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5D5B81">
              <w:rPr>
                <w:i/>
                <w:sz w:val="26"/>
                <w:szCs w:val="26"/>
              </w:rPr>
              <w:t>Vị trí, diện tích, lãnh thổ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5D5B81">
              <w:rPr>
                <w:sz w:val="26"/>
                <w:szCs w:val="26"/>
              </w:rPr>
              <w:t>Trải dài từ miền duyên hải đến đất liền, đến kinh tuyến 105</w:t>
            </w:r>
            <w:r w:rsidRPr="005D5B81">
              <w:rPr>
                <w:sz w:val="26"/>
                <w:szCs w:val="26"/>
                <w:vertAlign w:val="superscript"/>
              </w:rPr>
              <w:t>0</w:t>
            </w:r>
            <w:r w:rsidRPr="005D5B81">
              <w:rPr>
                <w:sz w:val="26"/>
                <w:szCs w:val="26"/>
              </w:rPr>
              <w:t xml:space="preserve"> Đ, chiếm 50% S lãnh thổ.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5D5B81">
              <w:rPr>
                <w:sz w:val="26"/>
                <w:szCs w:val="26"/>
              </w:rPr>
              <w:t>73</w:t>
            </w:r>
            <w:r w:rsidRPr="005D5B81">
              <w:rPr>
                <w:sz w:val="26"/>
                <w:szCs w:val="26"/>
                <w:vertAlign w:val="superscript"/>
              </w:rPr>
              <w:t>0</w:t>
            </w:r>
            <w:r w:rsidRPr="005D5B81">
              <w:rPr>
                <w:sz w:val="26"/>
                <w:szCs w:val="26"/>
              </w:rPr>
              <w:t xml:space="preserve"> Đ đến 105</w:t>
            </w:r>
            <w:r w:rsidRPr="005D5B81">
              <w:rPr>
                <w:sz w:val="26"/>
                <w:szCs w:val="26"/>
                <w:vertAlign w:val="superscript"/>
              </w:rPr>
              <w:t>0</w:t>
            </w:r>
            <w:r w:rsidRPr="005D5B81">
              <w:rPr>
                <w:sz w:val="26"/>
                <w:szCs w:val="26"/>
              </w:rPr>
              <w:t xml:space="preserve"> Đ</w:t>
            </w:r>
          </w:p>
        </w:tc>
      </w:tr>
      <w:tr w:rsidR="00D91065" w:rsidRPr="005D5B81" w:rsidTr="005D5B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65" w:rsidRPr="005D5B81" w:rsidRDefault="00D91065" w:rsidP="005D5B81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5D5B81">
              <w:rPr>
                <w:i/>
                <w:sz w:val="26"/>
                <w:szCs w:val="26"/>
              </w:rPr>
              <w:t>Địa hình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5D5B81">
              <w:rPr>
                <w:sz w:val="26"/>
                <w:szCs w:val="26"/>
              </w:rPr>
              <w:t xml:space="preserve">Đồng bằng </w:t>
            </w:r>
            <w:r w:rsidRPr="005D5B81">
              <w:rPr>
                <w:sz w:val="26"/>
                <w:szCs w:val="26"/>
                <w:lang w:val="vi-VN"/>
              </w:rPr>
              <w:t xml:space="preserve">châu thỗ </w:t>
            </w:r>
            <w:r w:rsidRPr="005D5B81">
              <w:rPr>
                <w:sz w:val="26"/>
                <w:szCs w:val="26"/>
              </w:rPr>
              <w:t xml:space="preserve">ven biển, </w:t>
            </w:r>
            <w:r w:rsidRPr="005D5B81">
              <w:rPr>
                <w:sz w:val="26"/>
                <w:szCs w:val="26"/>
                <w:lang w:val="vi-VN"/>
              </w:rPr>
              <w:t>đất phù sa màu mỡ,</w:t>
            </w:r>
            <w:r w:rsidRPr="005D5B81">
              <w:rPr>
                <w:sz w:val="26"/>
                <w:szCs w:val="26"/>
              </w:rPr>
              <w:t>đồi thấp phía tây</w:t>
            </w:r>
            <w:r w:rsidRPr="005D5B81">
              <w:rPr>
                <w:sz w:val="26"/>
                <w:szCs w:val="26"/>
                <w:lang w:val="vi-VN"/>
              </w:rPr>
              <w:t>=&gt; thuận lợi phát triển nông nghiệp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5D5B81">
              <w:rPr>
                <w:sz w:val="26"/>
                <w:szCs w:val="26"/>
              </w:rPr>
              <w:t xml:space="preserve">Núi cao, cao nguyên, </w:t>
            </w:r>
            <w:r w:rsidRPr="005D5B81">
              <w:rPr>
                <w:sz w:val="26"/>
                <w:szCs w:val="26"/>
                <w:lang w:val="vi-VN"/>
              </w:rPr>
              <w:t xml:space="preserve">sơn nguyên đồ sộ  xen </w:t>
            </w:r>
            <w:r w:rsidRPr="005D5B81">
              <w:rPr>
                <w:sz w:val="26"/>
                <w:szCs w:val="26"/>
              </w:rPr>
              <w:t>bồn địa</w:t>
            </w:r>
            <w:r w:rsidRPr="005D5B81">
              <w:rPr>
                <w:sz w:val="26"/>
                <w:szCs w:val="26"/>
                <w:lang w:val="vi-VN"/>
              </w:rPr>
              <w:t xml:space="preserve"> =&gt; giao thông khó khăn, phát triển đồng cỏ và trồng rừng</w:t>
            </w:r>
          </w:p>
        </w:tc>
      </w:tr>
      <w:tr w:rsidR="00D91065" w:rsidRPr="005D5B81" w:rsidTr="005D5B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65" w:rsidRPr="005D5B81" w:rsidRDefault="00D91065" w:rsidP="005D5B81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5D5B81">
              <w:rPr>
                <w:i/>
                <w:sz w:val="26"/>
                <w:szCs w:val="26"/>
              </w:rPr>
              <w:t>Khí hậu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5D5B81">
              <w:rPr>
                <w:sz w:val="26"/>
                <w:szCs w:val="26"/>
              </w:rPr>
              <w:t xml:space="preserve">Thuộc khu vực gió mùa, phía Bắc </w:t>
            </w:r>
            <w:r w:rsidRPr="005D5B81">
              <w:rPr>
                <w:sz w:val="26"/>
                <w:szCs w:val="26"/>
                <w:u w:val="single"/>
              </w:rPr>
              <w:t>ôn đới</w:t>
            </w:r>
            <w:r w:rsidRPr="005D5B81">
              <w:rPr>
                <w:sz w:val="26"/>
                <w:szCs w:val="26"/>
              </w:rPr>
              <w:t>, phí</w:t>
            </w:r>
            <w:r w:rsidRPr="005D5B81">
              <w:rPr>
                <w:sz w:val="26"/>
                <w:szCs w:val="26"/>
                <w:lang w:val="vi-VN"/>
              </w:rPr>
              <w:t xml:space="preserve">a </w:t>
            </w:r>
            <w:r w:rsidRPr="005D5B81">
              <w:rPr>
                <w:sz w:val="26"/>
                <w:szCs w:val="26"/>
              </w:rPr>
              <w:t xml:space="preserve">Nam </w:t>
            </w:r>
            <w:r w:rsidRPr="005D5B81">
              <w:rPr>
                <w:sz w:val="26"/>
                <w:szCs w:val="26"/>
                <w:u w:val="single"/>
              </w:rPr>
              <w:t>cận nhiệt</w:t>
            </w:r>
            <w:r w:rsidRPr="005D5B81">
              <w:rPr>
                <w:sz w:val="26"/>
                <w:szCs w:val="26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5D5B81">
              <w:rPr>
                <w:sz w:val="26"/>
                <w:szCs w:val="26"/>
                <w:u w:val="single"/>
              </w:rPr>
              <w:t>Ôn đới</w:t>
            </w:r>
            <w:r w:rsidRPr="005D5B81">
              <w:rPr>
                <w:sz w:val="26"/>
                <w:szCs w:val="26"/>
              </w:rPr>
              <w:t xml:space="preserve"> lục địa</w:t>
            </w:r>
            <w:r w:rsidRPr="005D5B81">
              <w:rPr>
                <w:sz w:val="26"/>
                <w:szCs w:val="26"/>
                <w:lang w:val="vi-VN"/>
              </w:rPr>
              <w:t xml:space="preserve"> khắc nghiệt</w:t>
            </w:r>
            <w:r w:rsidRPr="005D5B81">
              <w:rPr>
                <w:sz w:val="26"/>
                <w:szCs w:val="26"/>
              </w:rPr>
              <w:t>, khí hậu núi cao.</w:t>
            </w:r>
            <w:r w:rsidRPr="005D5B81">
              <w:rPr>
                <w:sz w:val="26"/>
                <w:szCs w:val="26"/>
                <w:lang w:val="vi-VN"/>
              </w:rPr>
              <w:t xml:space="preserve">khí hậu hoang mạc và bán hoang mạc </w:t>
            </w:r>
          </w:p>
        </w:tc>
      </w:tr>
      <w:tr w:rsidR="00D91065" w:rsidRPr="005D5B81" w:rsidTr="005D5B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65" w:rsidRPr="005D5B81" w:rsidRDefault="00D91065" w:rsidP="005D5B81">
            <w:pPr>
              <w:spacing w:line="288" w:lineRule="auto"/>
              <w:jc w:val="center"/>
              <w:rPr>
                <w:i/>
                <w:sz w:val="26"/>
                <w:szCs w:val="26"/>
                <w:lang w:val="vi-VN"/>
              </w:rPr>
            </w:pPr>
            <w:r w:rsidRPr="005D5B81">
              <w:rPr>
                <w:i/>
                <w:sz w:val="26"/>
                <w:szCs w:val="26"/>
                <w:lang w:val="vi-VN"/>
              </w:rPr>
              <w:t>Sông ngòi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5D5B81">
              <w:rPr>
                <w:sz w:val="26"/>
                <w:szCs w:val="26"/>
                <w:lang w:val="vi-VN"/>
              </w:rPr>
              <w:t xml:space="preserve">Hạ lưu các </w:t>
            </w:r>
            <w:r w:rsidRPr="005D5B81">
              <w:rPr>
                <w:sz w:val="26"/>
                <w:szCs w:val="26"/>
              </w:rPr>
              <w:t>Sông lớn (Trường Giang, Hoàng Hà</w:t>
            </w:r>
            <w:r w:rsidRPr="005D5B81">
              <w:rPr>
                <w:sz w:val="26"/>
                <w:szCs w:val="26"/>
                <w:lang w:val="vi-VN"/>
              </w:rPr>
              <w:t>...</w:t>
            </w:r>
            <w:r w:rsidRPr="005D5B81">
              <w:rPr>
                <w:sz w:val="26"/>
                <w:szCs w:val="26"/>
              </w:rPr>
              <w:t xml:space="preserve">) </w:t>
            </w:r>
            <w:r w:rsidRPr="005D5B81">
              <w:rPr>
                <w:sz w:val="26"/>
                <w:szCs w:val="26"/>
              </w:rPr>
              <w:sym w:font="Symbol" w:char="F0AE"/>
            </w:r>
            <w:r w:rsidRPr="005D5B81">
              <w:rPr>
                <w:sz w:val="26"/>
                <w:szCs w:val="26"/>
              </w:rPr>
              <w:t xml:space="preserve"> có giá trị về kinh tế song cũng nhiều thiên tai.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5D5B81">
              <w:rPr>
                <w:sz w:val="26"/>
                <w:szCs w:val="26"/>
                <w:lang w:val="vi-VN"/>
              </w:rPr>
              <w:t>Nơi bắt nguồn các sông lớn</w:t>
            </w:r>
          </w:p>
        </w:tc>
      </w:tr>
      <w:tr w:rsidR="00D91065" w:rsidRPr="005D5B81" w:rsidTr="005D5B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65" w:rsidRPr="005D5B81" w:rsidRDefault="00D91065" w:rsidP="005D5B81">
            <w:pPr>
              <w:spacing w:line="288" w:lineRule="auto"/>
              <w:jc w:val="center"/>
              <w:rPr>
                <w:i/>
                <w:sz w:val="26"/>
                <w:szCs w:val="26"/>
              </w:rPr>
            </w:pPr>
            <w:r w:rsidRPr="005D5B81">
              <w:rPr>
                <w:i/>
                <w:sz w:val="26"/>
                <w:szCs w:val="26"/>
              </w:rPr>
              <w:t>Khoáng sản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5D5B81">
              <w:rPr>
                <w:sz w:val="26"/>
                <w:szCs w:val="26"/>
                <w:lang w:val="vi-VN"/>
              </w:rPr>
              <w:t>Phong phú : than, dầu mỏ, quặng sắt, đặc biệt là kim loại màu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</w:rPr>
            </w:pPr>
            <w:r w:rsidRPr="005D5B81">
              <w:rPr>
                <w:sz w:val="26"/>
                <w:szCs w:val="26"/>
                <w:lang w:val="vi-VN"/>
              </w:rPr>
              <w:t xml:space="preserve">Đa dạng : giàu khoáng sản: </w:t>
            </w:r>
            <w:r w:rsidRPr="005D5B81">
              <w:rPr>
                <w:sz w:val="26"/>
                <w:szCs w:val="26"/>
              </w:rPr>
              <w:t>Dầu khí, than, sắt.</w:t>
            </w:r>
          </w:p>
        </w:tc>
      </w:tr>
      <w:tr w:rsidR="00D91065" w:rsidRPr="005D5B81" w:rsidTr="005D5B8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5" w:rsidRPr="005D5B81" w:rsidRDefault="00D91065" w:rsidP="005D5B81">
            <w:pPr>
              <w:spacing w:line="288" w:lineRule="auto"/>
              <w:jc w:val="center"/>
              <w:rPr>
                <w:i/>
                <w:sz w:val="26"/>
                <w:szCs w:val="26"/>
                <w:lang w:val="vi-VN"/>
              </w:rPr>
            </w:pPr>
            <w:r w:rsidRPr="005D5B81">
              <w:rPr>
                <w:i/>
                <w:sz w:val="26"/>
                <w:szCs w:val="26"/>
                <w:lang w:val="vi-VN"/>
              </w:rPr>
              <w:t>ảnh hưởng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5D5B81">
              <w:rPr>
                <w:sz w:val="26"/>
                <w:szCs w:val="26"/>
                <w:lang w:val="vi-VN"/>
              </w:rPr>
              <w:t>-Thuận lợi phát triển ngành nông nghiệp,công nghiệp, giao thông vận tải...</w:t>
            </w:r>
          </w:p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5D5B81">
              <w:rPr>
                <w:sz w:val="26"/>
                <w:szCs w:val="26"/>
                <w:lang w:val="vi-VN"/>
              </w:rPr>
              <w:t>-  Thiên tai, lụt lội, bão...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5D5B81">
              <w:rPr>
                <w:sz w:val="26"/>
                <w:szCs w:val="26"/>
                <w:lang w:val="vi-VN"/>
              </w:rPr>
              <w:t>- thuận lợi phát triển lâm nghiệp, chăn nuôi gia súc, khai thác khoáng sản</w:t>
            </w:r>
          </w:p>
          <w:p w:rsidR="00D91065" w:rsidRPr="005D5B81" w:rsidRDefault="00D91065" w:rsidP="005D5B81">
            <w:pPr>
              <w:spacing w:line="288" w:lineRule="auto"/>
              <w:jc w:val="both"/>
              <w:rPr>
                <w:sz w:val="26"/>
                <w:szCs w:val="26"/>
                <w:lang w:val="vi-VN"/>
              </w:rPr>
            </w:pPr>
            <w:r w:rsidRPr="005D5B81">
              <w:rPr>
                <w:sz w:val="26"/>
                <w:szCs w:val="26"/>
                <w:lang w:val="vi-VN"/>
              </w:rPr>
              <w:t xml:space="preserve">- giao thông không thuận lợi, </w:t>
            </w:r>
          </w:p>
        </w:tc>
      </w:tr>
    </w:tbl>
    <w:p w:rsidR="005D5B81" w:rsidRPr="005D5B81" w:rsidRDefault="005D5B81" w:rsidP="005D5B81">
      <w:pPr>
        <w:spacing w:after="0" w:line="288" w:lineRule="auto"/>
        <w:rPr>
          <w:sz w:val="26"/>
          <w:szCs w:val="26"/>
        </w:rPr>
      </w:pPr>
    </w:p>
    <w:p w:rsidR="007D23B4" w:rsidRPr="005D5B81" w:rsidRDefault="00D91065" w:rsidP="005D5B81">
      <w:pPr>
        <w:spacing w:after="0" w:line="288" w:lineRule="auto"/>
        <w:rPr>
          <w:b/>
          <w:sz w:val="26"/>
          <w:szCs w:val="26"/>
          <w:u w:val="single"/>
          <w:lang w:val="vi-VN"/>
        </w:rPr>
      </w:pPr>
      <w:r w:rsidRPr="005D5B81">
        <w:rPr>
          <w:b/>
          <w:sz w:val="26"/>
          <w:szCs w:val="26"/>
          <w:u w:val="single"/>
          <w:lang w:val="vi-VN"/>
        </w:rPr>
        <w:t xml:space="preserve">Câu </w:t>
      </w:r>
      <w:r w:rsidRPr="005D5B81">
        <w:rPr>
          <w:b/>
          <w:sz w:val="26"/>
          <w:szCs w:val="26"/>
          <w:u w:val="single"/>
        </w:rPr>
        <w:t>3</w:t>
      </w:r>
      <w:r w:rsidR="007D23B4" w:rsidRPr="005D5B81">
        <w:rPr>
          <w:b/>
          <w:sz w:val="26"/>
          <w:szCs w:val="26"/>
          <w:u w:val="single"/>
          <w:lang w:val="vi-VN"/>
        </w:rPr>
        <w:t>: điều kiện thuận lợi để n</w:t>
      </w:r>
      <w:r w:rsidR="007D23B4" w:rsidRPr="005D5B81">
        <w:rPr>
          <w:b/>
          <w:sz w:val="26"/>
          <w:szCs w:val="26"/>
          <w:u w:val="single"/>
        </w:rPr>
        <w:t>ông nghiệp</w:t>
      </w:r>
      <w:r w:rsidR="007D23B4" w:rsidRPr="005D5B81">
        <w:rPr>
          <w:b/>
          <w:sz w:val="26"/>
          <w:szCs w:val="26"/>
          <w:u w:val="single"/>
          <w:lang w:val="vi-VN"/>
        </w:rPr>
        <w:t>Trung Quốc phat triển ?( 1đ)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t>- Tự nhiên: Đất đai sản xuất nông nghiệp  màu mỡ. Khí hậu đa dạng. Nguồn nước dồi dào...Nhưng Diện tích đất canh tác chỉ chiếm 7% thế giới mà  phải nuôi 20% dân số thế giới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t>- Kinh tế - xã hội: Lao động dồi dào; Chính sách phát triển nông nghiệp của Nhà nước hợp lí; Cơ sở hạ tầng. khoa học kỉ thuật… ngày càng phát triển</w:t>
      </w:r>
    </w:p>
    <w:p w:rsidR="007D23B4" w:rsidRPr="005D5B81" w:rsidRDefault="00D91065" w:rsidP="005D5B81">
      <w:pPr>
        <w:spacing w:after="0" w:line="288" w:lineRule="auto"/>
        <w:rPr>
          <w:b/>
          <w:sz w:val="26"/>
          <w:szCs w:val="26"/>
          <w:u w:val="single"/>
          <w:lang w:val="vi-VN"/>
        </w:rPr>
      </w:pPr>
      <w:r w:rsidRPr="005D5B81">
        <w:rPr>
          <w:b/>
          <w:sz w:val="26"/>
          <w:szCs w:val="26"/>
          <w:u w:val="single"/>
          <w:lang w:val="vi-VN"/>
        </w:rPr>
        <w:t xml:space="preserve">Câu </w:t>
      </w:r>
      <w:r w:rsidRPr="005D5B81">
        <w:rPr>
          <w:b/>
          <w:sz w:val="26"/>
          <w:szCs w:val="26"/>
          <w:u w:val="single"/>
        </w:rPr>
        <w:t>4</w:t>
      </w:r>
      <w:r w:rsidR="007D23B4" w:rsidRPr="005D5B81">
        <w:rPr>
          <w:b/>
          <w:sz w:val="26"/>
          <w:szCs w:val="26"/>
          <w:u w:val="single"/>
          <w:lang w:val="vi-VN"/>
        </w:rPr>
        <w:t>:Ngành c</w:t>
      </w:r>
      <w:r w:rsidR="007D23B4" w:rsidRPr="005D5B81">
        <w:rPr>
          <w:b/>
          <w:sz w:val="26"/>
          <w:szCs w:val="26"/>
          <w:u w:val="single"/>
        </w:rPr>
        <w:t>ông nghiệp</w:t>
      </w:r>
      <w:r w:rsidR="007D23B4" w:rsidRPr="005D5B81">
        <w:rPr>
          <w:b/>
          <w:sz w:val="26"/>
          <w:szCs w:val="26"/>
          <w:u w:val="single"/>
          <w:lang w:val="vi-VN"/>
        </w:rPr>
        <w:t xml:space="preserve"> Trung Quốc đã có sự chuyển đổi kinh tế như thế nào?( 2đ)</w:t>
      </w:r>
    </w:p>
    <w:p w:rsidR="007D23B4" w:rsidRPr="005D5B81" w:rsidRDefault="007D23B4" w:rsidP="005D5B81">
      <w:pPr>
        <w:spacing w:after="0" w:line="288" w:lineRule="auto"/>
        <w:rPr>
          <w:sz w:val="26"/>
          <w:szCs w:val="26"/>
          <w:lang w:val="vi-VN"/>
        </w:rPr>
      </w:pPr>
      <w:r w:rsidRPr="005D5B81">
        <w:rPr>
          <w:sz w:val="26"/>
          <w:szCs w:val="26"/>
        </w:rPr>
        <w:t>– Chuyển từ nền kinh tế chỉ huy sang nền kinh tế thị trường.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lastRenderedPageBreak/>
        <w:t>- các nhà máy, xí nghiệp được chủ động trong việc lập kế hoạch sản xuất và tìm thị trường tiêu thụ sản phẩm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t>– TQ thực hiện chính sách mở cửa, tăng cường trao đổi hàng hóa với thị trường thế giới.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t>– Cho phép các công ty, doanh nghiệp nước ngoài tham gia đầu tư, quản lí sản xuất công nghiệp tại các đặc khu, khu chế xuất.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t>– Chủ động đầu tư, hiện đại hóa trang thiết bị, phát triển và ứng dụng công nghệ cao cho các ngành công nghiệp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t>– Từ năm 1994 Trung Quốc thực hiện chính sách công nghiệp mới, tập trung chủ yếu vào 5 ngành: chế tạo máy, điện tử, hóa dầu, sản xuất ô tô và xây dựng.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t>- phát triển các ngành công nghiệp kỉ thuật cao: điện tử, cơ khí chính xác, sản xuất máy móc tự động. Chế tạo thành công tàu vũ trụ và đưa người  vào vũ trụ</w:t>
      </w:r>
    </w:p>
    <w:p w:rsidR="007D23B4" w:rsidRPr="005D5B81" w:rsidRDefault="007D23B4" w:rsidP="005D5B81">
      <w:pPr>
        <w:spacing w:after="0" w:line="288" w:lineRule="auto"/>
        <w:ind w:firstLine="426"/>
        <w:jc w:val="both"/>
        <w:rPr>
          <w:sz w:val="26"/>
          <w:szCs w:val="26"/>
        </w:rPr>
      </w:pPr>
      <w:r w:rsidRPr="005D5B81">
        <w:rPr>
          <w:sz w:val="26"/>
          <w:szCs w:val="26"/>
        </w:rPr>
        <w:t>– Sử dụng lực lượng lao động dồi dào và nguyên vật liệu sẵn có ở địa bàn nông thôn để phát triển các ngành công nghiệp vật liệu xây dựng, đồ gốm, dệt may, hàng tiêu dùng</w:t>
      </w:r>
    </w:p>
    <w:p w:rsidR="00AA3636" w:rsidRPr="005D5B81" w:rsidRDefault="00AA3636" w:rsidP="005D5B81">
      <w:pPr>
        <w:spacing w:after="0" w:line="288" w:lineRule="auto"/>
        <w:rPr>
          <w:sz w:val="26"/>
          <w:szCs w:val="26"/>
        </w:rPr>
      </w:pPr>
      <w:r w:rsidRPr="005D5B81">
        <w:rPr>
          <w:b/>
          <w:sz w:val="26"/>
          <w:szCs w:val="26"/>
          <w:u w:val="single"/>
          <w:lang w:val="vi-VN"/>
        </w:rPr>
        <w:t xml:space="preserve">Câu </w:t>
      </w:r>
      <w:r w:rsidR="005D5B81" w:rsidRPr="005D5B81">
        <w:rPr>
          <w:b/>
          <w:sz w:val="26"/>
          <w:szCs w:val="26"/>
          <w:u w:val="single"/>
        </w:rPr>
        <w:t>5</w:t>
      </w:r>
      <w:r w:rsidRPr="005D5B81">
        <w:rPr>
          <w:b/>
          <w:sz w:val="26"/>
          <w:szCs w:val="26"/>
          <w:u w:val="single"/>
          <w:lang w:val="vi-VN"/>
        </w:rPr>
        <w:t>: dựa vào bảng số liệu</w:t>
      </w:r>
      <w:r w:rsidRPr="005D5B81">
        <w:rPr>
          <w:b/>
          <w:sz w:val="26"/>
          <w:szCs w:val="26"/>
          <w:u w:val="single"/>
        </w:rPr>
        <w:t xml:space="preserve"> : </w:t>
      </w:r>
      <w:r w:rsidRPr="005D5B81">
        <w:rPr>
          <w:sz w:val="26"/>
          <w:szCs w:val="26"/>
          <w:lang w:val="vi-VN"/>
        </w:rPr>
        <w:t>Tính , vẽ biểu đồ</w:t>
      </w:r>
      <w:r w:rsidR="00767016" w:rsidRPr="005D5B81">
        <w:rPr>
          <w:sz w:val="26"/>
          <w:szCs w:val="26"/>
          <w:lang w:val="vi-VN"/>
        </w:rPr>
        <w:t xml:space="preserve"> </w:t>
      </w:r>
      <w:r w:rsidRPr="005D5B81">
        <w:rPr>
          <w:sz w:val="26"/>
          <w:szCs w:val="26"/>
          <w:lang w:val="vi-VN"/>
        </w:rPr>
        <w:t xml:space="preserve"> tốc độ tăng trưởng sản lượng một số sản phẩm công nghiệp của Trung Quốc</w:t>
      </w:r>
      <w:r w:rsidRPr="005D5B81">
        <w:rPr>
          <w:sz w:val="26"/>
          <w:szCs w:val="26"/>
        </w:rPr>
        <w:t xml:space="preserve"> (3 đ)</w:t>
      </w:r>
    </w:p>
    <w:p w:rsidR="00767016" w:rsidRPr="005D5B81" w:rsidRDefault="00767016" w:rsidP="005D5B81">
      <w:pPr>
        <w:spacing w:after="0" w:line="288" w:lineRule="auto"/>
        <w:rPr>
          <w:color w:val="FF0000"/>
          <w:sz w:val="26"/>
          <w:szCs w:val="26"/>
          <w:lang w:val="vi-VN"/>
        </w:rPr>
      </w:pPr>
      <w:r w:rsidRPr="005D5B81">
        <w:rPr>
          <w:color w:val="FF0000"/>
          <w:sz w:val="26"/>
          <w:szCs w:val="26"/>
          <w:lang w:val="vi-VN"/>
        </w:rPr>
        <w:t xml:space="preserve">     + đơn vị %</w:t>
      </w:r>
    </w:p>
    <w:p w:rsidR="00767016" w:rsidRPr="005D5B81" w:rsidRDefault="00767016" w:rsidP="005D5B81">
      <w:pPr>
        <w:spacing w:after="0" w:line="288" w:lineRule="auto"/>
        <w:rPr>
          <w:color w:val="FF0000"/>
          <w:sz w:val="26"/>
          <w:szCs w:val="26"/>
          <w:lang w:val="vi-VN"/>
        </w:rPr>
      </w:pPr>
      <w:r w:rsidRPr="005D5B81">
        <w:rPr>
          <w:color w:val="FF0000"/>
          <w:sz w:val="26"/>
          <w:szCs w:val="26"/>
          <w:lang w:val="vi-VN"/>
        </w:rPr>
        <w:t xml:space="preserve">     + chỉ cần viết 1 công thức mẫu, nếu không có trừ 0,5 đ</w:t>
      </w:r>
    </w:p>
    <w:p w:rsidR="00767016" w:rsidRPr="005D5B81" w:rsidRDefault="00767016" w:rsidP="005D5B81">
      <w:pPr>
        <w:spacing w:after="0" w:line="288" w:lineRule="auto"/>
        <w:rPr>
          <w:color w:val="FF0000"/>
          <w:sz w:val="26"/>
          <w:szCs w:val="26"/>
          <w:lang w:val="vi-VN"/>
        </w:rPr>
      </w:pPr>
      <w:r w:rsidRPr="005D5B81">
        <w:rPr>
          <w:color w:val="FF0000"/>
          <w:sz w:val="26"/>
          <w:szCs w:val="26"/>
          <w:lang w:val="vi-VN"/>
        </w:rPr>
        <w:t xml:space="preserve">     + sai kết quả một sản trừ 0,25</w:t>
      </w:r>
    </w:p>
    <w:p w:rsidR="00767016" w:rsidRPr="005D5B81" w:rsidRDefault="00767016" w:rsidP="005D5B81">
      <w:pPr>
        <w:spacing w:after="0" w:line="288" w:lineRule="auto"/>
        <w:rPr>
          <w:color w:val="FF0000"/>
          <w:sz w:val="26"/>
          <w:szCs w:val="26"/>
          <w:lang w:val="vi-V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3"/>
        <w:gridCol w:w="2095"/>
        <w:gridCol w:w="2095"/>
        <w:gridCol w:w="2096"/>
      </w:tblGrid>
      <w:tr w:rsidR="00767016" w:rsidRPr="005D5B81" w:rsidTr="00E02FFB">
        <w:trPr>
          <w:trHeight w:val="308"/>
        </w:trPr>
        <w:tc>
          <w:tcPr>
            <w:tcW w:w="1703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Sản phẩm</w:t>
            </w:r>
          </w:p>
        </w:tc>
        <w:tc>
          <w:tcPr>
            <w:tcW w:w="2095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1985</w:t>
            </w:r>
          </w:p>
        </w:tc>
        <w:tc>
          <w:tcPr>
            <w:tcW w:w="2095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1995</w:t>
            </w:r>
          </w:p>
        </w:tc>
        <w:tc>
          <w:tcPr>
            <w:tcW w:w="2096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2004</w:t>
            </w:r>
          </w:p>
        </w:tc>
      </w:tr>
      <w:tr w:rsidR="00767016" w:rsidRPr="005D5B81" w:rsidTr="00E02FFB">
        <w:trPr>
          <w:trHeight w:val="318"/>
        </w:trPr>
        <w:tc>
          <w:tcPr>
            <w:tcW w:w="1703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Than</w:t>
            </w:r>
          </w:p>
        </w:tc>
        <w:tc>
          <w:tcPr>
            <w:tcW w:w="2095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100</w:t>
            </w:r>
          </w:p>
        </w:tc>
        <w:tc>
          <w:tcPr>
            <w:tcW w:w="2095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159,8</w:t>
            </w:r>
          </w:p>
        </w:tc>
        <w:tc>
          <w:tcPr>
            <w:tcW w:w="2096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170</w:t>
            </w:r>
          </w:p>
        </w:tc>
      </w:tr>
      <w:tr w:rsidR="00767016" w:rsidRPr="005D5B81" w:rsidTr="00E02FFB">
        <w:trPr>
          <w:trHeight w:val="308"/>
        </w:trPr>
        <w:tc>
          <w:tcPr>
            <w:tcW w:w="1703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Điện</w:t>
            </w:r>
          </w:p>
        </w:tc>
        <w:tc>
          <w:tcPr>
            <w:tcW w:w="2095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100</w:t>
            </w:r>
          </w:p>
        </w:tc>
        <w:tc>
          <w:tcPr>
            <w:tcW w:w="2095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244,8</w:t>
            </w:r>
          </w:p>
        </w:tc>
        <w:tc>
          <w:tcPr>
            <w:tcW w:w="2096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559,9</w:t>
            </w:r>
          </w:p>
        </w:tc>
      </w:tr>
      <w:tr w:rsidR="00767016" w:rsidRPr="005D5B81" w:rsidTr="00E02FFB">
        <w:trPr>
          <w:trHeight w:val="308"/>
        </w:trPr>
        <w:tc>
          <w:tcPr>
            <w:tcW w:w="1703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Thép</w:t>
            </w:r>
          </w:p>
        </w:tc>
        <w:tc>
          <w:tcPr>
            <w:tcW w:w="2095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100</w:t>
            </w:r>
          </w:p>
        </w:tc>
        <w:tc>
          <w:tcPr>
            <w:tcW w:w="2095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202,1</w:t>
            </w:r>
          </w:p>
        </w:tc>
        <w:tc>
          <w:tcPr>
            <w:tcW w:w="2096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580,4</w:t>
            </w:r>
          </w:p>
        </w:tc>
      </w:tr>
      <w:tr w:rsidR="00767016" w:rsidRPr="005D5B81" w:rsidTr="00E02FFB">
        <w:trPr>
          <w:trHeight w:val="318"/>
        </w:trPr>
        <w:tc>
          <w:tcPr>
            <w:tcW w:w="1703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Xi măng</w:t>
            </w:r>
          </w:p>
        </w:tc>
        <w:tc>
          <w:tcPr>
            <w:tcW w:w="2095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100</w:t>
            </w:r>
          </w:p>
        </w:tc>
        <w:tc>
          <w:tcPr>
            <w:tcW w:w="2095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326</w:t>
            </w:r>
          </w:p>
        </w:tc>
        <w:tc>
          <w:tcPr>
            <w:tcW w:w="2096" w:type="dxa"/>
            <w:vAlign w:val="center"/>
          </w:tcPr>
          <w:p w:rsidR="00767016" w:rsidRPr="005D5B81" w:rsidRDefault="00767016" w:rsidP="005D5B81">
            <w:pPr>
              <w:spacing w:line="288" w:lineRule="auto"/>
              <w:jc w:val="center"/>
              <w:rPr>
                <w:b/>
                <w:color w:val="FF0000"/>
                <w:sz w:val="26"/>
                <w:szCs w:val="26"/>
                <w:lang w:val="vi-VN"/>
              </w:rPr>
            </w:pPr>
            <w:r w:rsidRPr="005D5B81">
              <w:rPr>
                <w:b/>
                <w:color w:val="FF0000"/>
                <w:sz w:val="26"/>
                <w:szCs w:val="26"/>
                <w:lang w:val="vi-VN"/>
              </w:rPr>
              <w:t>664,4</w:t>
            </w:r>
          </w:p>
        </w:tc>
      </w:tr>
    </w:tbl>
    <w:p w:rsidR="00767016" w:rsidRPr="005D5B81" w:rsidRDefault="00767016" w:rsidP="005D5B81">
      <w:pPr>
        <w:spacing w:after="0" w:line="288" w:lineRule="auto"/>
        <w:rPr>
          <w:sz w:val="26"/>
          <w:szCs w:val="26"/>
          <w:lang w:val="vi-VN"/>
        </w:rPr>
      </w:pPr>
    </w:p>
    <w:p w:rsidR="00767016" w:rsidRPr="005D5B81" w:rsidRDefault="00767016" w:rsidP="005D5B81">
      <w:pPr>
        <w:spacing w:after="0" w:line="288" w:lineRule="auto"/>
        <w:rPr>
          <w:color w:val="FF0000"/>
          <w:sz w:val="26"/>
          <w:szCs w:val="26"/>
          <w:lang w:val="vi-VN"/>
        </w:rPr>
      </w:pPr>
      <w:r w:rsidRPr="005D5B81">
        <w:rPr>
          <w:color w:val="FF0000"/>
          <w:sz w:val="26"/>
          <w:szCs w:val="26"/>
          <w:lang w:val="vi-VN"/>
        </w:rPr>
        <w:t>b) (2đ)</w:t>
      </w:r>
    </w:p>
    <w:p w:rsidR="00767016" w:rsidRPr="005D5B81" w:rsidRDefault="00767016" w:rsidP="005D5B81">
      <w:pPr>
        <w:spacing w:after="0" w:line="288" w:lineRule="auto"/>
        <w:rPr>
          <w:color w:val="FF0000"/>
          <w:sz w:val="26"/>
          <w:szCs w:val="26"/>
          <w:lang w:val="vi-VN"/>
        </w:rPr>
      </w:pPr>
      <w:r w:rsidRPr="005D5B81">
        <w:rPr>
          <w:color w:val="FF0000"/>
          <w:sz w:val="26"/>
          <w:szCs w:val="26"/>
          <w:lang w:val="vi-VN"/>
        </w:rPr>
        <w:t>+ sai tỉ lệ trừ 1đ</w:t>
      </w:r>
    </w:p>
    <w:p w:rsidR="00767016" w:rsidRPr="005D5B81" w:rsidRDefault="00767016" w:rsidP="005D5B81">
      <w:pPr>
        <w:spacing w:after="0" w:line="288" w:lineRule="auto"/>
        <w:rPr>
          <w:color w:val="FF0000"/>
          <w:sz w:val="26"/>
          <w:szCs w:val="26"/>
          <w:lang w:val="vi-VN"/>
        </w:rPr>
      </w:pPr>
      <w:r w:rsidRPr="005D5B81">
        <w:rPr>
          <w:color w:val="FF0000"/>
          <w:sz w:val="26"/>
          <w:szCs w:val="26"/>
          <w:lang w:val="vi-VN"/>
        </w:rPr>
        <w:t>+ không số liệu trừ 0,5đ</w:t>
      </w:r>
    </w:p>
    <w:p w:rsidR="00767016" w:rsidRPr="005D5B81" w:rsidRDefault="00767016" w:rsidP="005D5B81">
      <w:pPr>
        <w:spacing w:after="0" w:line="288" w:lineRule="auto"/>
        <w:rPr>
          <w:color w:val="FF0000"/>
          <w:sz w:val="26"/>
          <w:szCs w:val="26"/>
          <w:lang w:val="vi-VN"/>
        </w:rPr>
      </w:pPr>
      <w:r w:rsidRPr="005D5B81">
        <w:rPr>
          <w:color w:val="FF0000"/>
          <w:sz w:val="26"/>
          <w:szCs w:val="26"/>
          <w:lang w:val="vi-VN"/>
        </w:rPr>
        <w:t>+ không tên biểu đồ trừ 0,5đ</w:t>
      </w:r>
    </w:p>
    <w:p w:rsidR="00767016" w:rsidRPr="005D5B81" w:rsidRDefault="00767016" w:rsidP="005D5B81">
      <w:pPr>
        <w:spacing w:after="0" w:line="288" w:lineRule="auto"/>
        <w:rPr>
          <w:color w:val="FF0000"/>
          <w:sz w:val="26"/>
          <w:szCs w:val="26"/>
          <w:lang w:val="vi-VN"/>
        </w:rPr>
      </w:pPr>
      <w:r w:rsidRPr="005D5B81">
        <w:rPr>
          <w:color w:val="FF0000"/>
          <w:sz w:val="26"/>
          <w:szCs w:val="26"/>
          <w:lang w:val="vi-VN"/>
        </w:rPr>
        <w:t>+ sai khoảng cách năm trừ 0,5đ cho 1 năm</w:t>
      </w:r>
    </w:p>
    <w:p w:rsidR="00767016" w:rsidRPr="005D5B81" w:rsidRDefault="00767016" w:rsidP="005D5B81">
      <w:pPr>
        <w:spacing w:after="0" w:line="288" w:lineRule="auto"/>
        <w:rPr>
          <w:color w:val="FF0000"/>
          <w:sz w:val="26"/>
          <w:szCs w:val="26"/>
          <w:lang w:val="vi-VN"/>
        </w:rPr>
      </w:pPr>
      <w:r w:rsidRPr="005D5B81">
        <w:rPr>
          <w:color w:val="FF0000"/>
          <w:sz w:val="26"/>
          <w:szCs w:val="26"/>
          <w:lang w:val="vi-VN"/>
        </w:rPr>
        <w:t>+ không, sai  chú giải trừ 0,5đ</w:t>
      </w:r>
    </w:p>
    <w:p w:rsidR="00767016" w:rsidRPr="00767016" w:rsidRDefault="00767016" w:rsidP="00767016">
      <w:pPr>
        <w:spacing w:after="0" w:line="240" w:lineRule="auto"/>
        <w:rPr>
          <w:sz w:val="26"/>
          <w:szCs w:val="26"/>
        </w:rPr>
      </w:pPr>
    </w:p>
    <w:p w:rsidR="00AA3636" w:rsidRPr="00D91065" w:rsidRDefault="00AA3636" w:rsidP="00D91065">
      <w:pPr>
        <w:spacing w:after="0" w:line="240" w:lineRule="auto"/>
        <w:rPr>
          <w:sz w:val="26"/>
          <w:szCs w:val="26"/>
        </w:rPr>
      </w:pPr>
    </w:p>
    <w:p w:rsidR="0035464B" w:rsidRDefault="00053D84" w:rsidP="00D91065">
      <w:pPr>
        <w:spacing w:after="0" w:line="240" w:lineRule="auto"/>
        <w:rPr>
          <w:sz w:val="26"/>
          <w:szCs w:val="26"/>
        </w:rPr>
      </w:pPr>
    </w:p>
    <w:p w:rsidR="00A3207E" w:rsidRPr="00D91065" w:rsidRDefault="00A3207E" w:rsidP="00D91065">
      <w:pPr>
        <w:spacing w:after="0" w:line="240" w:lineRule="auto"/>
        <w:rPr>
          <w:sz w:val="26"/>
          <w:szCs w:val="26"/>
        </w:rPr>
      </w:pPr>
    </w:p>
    <w:sectPr w:rsidR="00A3207E" w:rsidRPr="00D91065" w:rsidSect="005D5B81">
      <w:pgSz w:w="11907" w:h="16839" w:code="9"/>
      <w:pgMar w:top="709" w:right="708" w:bottom="709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7B7"/>
    <w:multiLevelType w:val="hybridMultilevel"/>
    <w:tmpl w:val="342E5454"/>
    <w:lvl w:ilvl="0" w:tplc="61B283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B4"/>
    <w:rsid w:val="00053D84"/>
    <w:rsid w:val="0048169D"/>
    <w:rsid w:val="00586CE4"/>
    <w:rsid w:val="005D5B81"/>
    <w:rsid w:val="006024E9"/>
    <w:rsid w:val="006E7EEC"/>
    <w:rsid w:val="00767016"/>
    <w:rsid w:val="007D23B4"/>
    <w:rsid w:val="00A3207E"/>
    <w:rsid w:val="00AA3636"/>
    <w:rsid w:val="00AC3135"/>
    <w:rsid w:val="00D91065"/>
    <w:rsid w:val="00E7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B4"/>
    <w:rPr>
      <w:rFonts w:ascii="Times New Roman" w:eastAsia="Calibri" w:hAnsi="Times New Roman" w:cs="Times New Roman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7D2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B4"/>
    <w:rPr>
      <w:rFonts w:ascii="Times New Roman" w:eastAsia="Calibri" w:hAnsi="Times New Roman" w:cs="Times New Roman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7D2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D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thanhloc</cp:lastModifiedBy>
  <cp:revision>2</cp:revision>
  <cp:lastPrinted>2021-03-17T01:51:00Z</cp:lastPrinted>
  <dcterms:created xsi:type="dcterms:W3CDTF">2021-03-20T06:23:00Z</dcterms:created>
  <dcterms:modified xsi:type="dcterms:W3CDTF">2021-03-20T06:23:00Z</dcterms:modified>
</cp:coreProperties>
</file>